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ns0:document xmlns:ns0="http://schemas.openxmlformats.org/wordprocessingml/2006/main" xmlns:ns1="http://schemas.openxmlformats.org/markup-compatibility/2006" xmlns:ns2="http://schemas.openxmlformats.org/drawingml/2006/wordprocessingDrawing" xmlns:ns3="http://schemas.openxmlformats.org/drawingml/2006/main" xmlns:ns4="http://schemas.openxmlformats.org/drawingml/2006/picture" xmlns:ns5="http://schemas.openxmlformats.org/officeDocument/2006/relationships" ns1:Ignorable="w14 wp14">
  <ns0:body>
    <ns0:p>
      <ns0:pPr>
        <ns0:keepLines/>
        <ns0:spacing ns0:after="0"/>
      </ns0:pPr>
      <ns0:r>
        <ns0:drawing>
          <ns2:inline>
            <ns2:extent cx="731520" cy="731520"/>
            <ns2:docPr id="1" name="Picture 1"/>
            <ns2:cNvGraphicFramePr>
              <ns3:graphicFrameLocks noChangeAspect="1"/>
            </ns2:cNvGraphicFramePr>
            <ns3:graphic>
              <ns3:graphicData uri="http://schemas.openxmlformats.org/drawingml/2006/picture">
                <ns4:pic>
                  <ns4:nvPicPr>
                    <ns4:cNvPr id="0" name="janus-app-primary-cream-square-1024.png"/>
                    <ns4:cNvPicPr/>
                  </ns4:nvPicPr>
                  <ns4:blipFill>
                    <ns3:blip ns5:embed="rId11"/>
                    <ns3:stretch>
                      <ns3:fillRect/>
                    </ns3:stretch>
                  </ns4:blipFill>
                  <ns4:spPr>
                    <ns3:xfrm>
                      <ns3:off x="0" y="0"/>
                      <ns3:ext cx="731520" cy="731520"/>
                    </ns3:xfrm>
                    <ns3:prstGeom prst="rect"/>
                  </ns4:spPr>
                </ns4:pic>
              </ns3:graphicData>
            </ns3:graphic>
          </ns2:inline>
        </ns0:drawing>
      </ns0:r>
    </ns0:p>
    <ns0:p>
      <ns0:pPr>
        <ns0:pStyle ns0:val="Title"/>
      </ns0:pPr>
      <ns0:r>
        <ns0:t>Janus Security &amp; Privacy</ns0:t>
      </ns0:r>
    </ns0:p>
    <ns0:p>
      <ns0:pPr>
        <ns0:keepLines/>
      </ns0:pPr>
      <ns0:r>
        <ns0:rPr>
          <ns0:b/>
        </ns0:rPr>
        <ns0:t>Product capabilities and customer data practices</ns0:t>
      </ns0:r>
    </ns0:p>
    <ns0:p>
      <ns0:pPr>
        <ns0:keepLines/>
      </ns0:pPr>
      <ns0:r>
        <ns0:rPr>
          <ns0:b ns0:val="0"/>
        </ns0:rPr>
        <ns0:t>Janus brings project planning, delivery tracking, documentation, feedback, and customer reporting into one platform. AI helps organize information and draft work; the project lead reviews and refines deliverables. This guide explains the product, how information is handled, and the terms governing customer use.</ns0:t>
      </ns0:r>
    </ns0:p>
    <ns0:p>
      <ns0:pPr>
        <ns0:pStyle ns0:val="Heading2"/>
      </ns0:pPr>
      <ns0:r>
        <ns0:t>Product and customer visibility</ns0:t>
      </ns0:r>
    </ns0:p>
    <ns0:p>
      <ns0:pPr>
        <ns0:keepLines/>
      </ns0:pPr>
      <ns0:r>
        <ns0:rPr>
          <ns0:b ns0:val="0"/>
        </ns0:rPr>
        <ns0:t>Janus helps construct epics, features, work items, user stories, requirements, and documentation. It maintains RAID logs, automatically plans work into sprints, and tracks timeline changes. Customers can follow current and upcoming work, forecasts, feedback, shared documents, and issued reports. Contract capacity, completed work, and remaining capacity support agreed reporting; they do not automatically change fees or commitments.</ns0:t>
      </ns0:r>
    </ns0:p>
    <ns0:p>
      <ns0:pPr>
        <ns0:pStyle ns0:val="Heading2"/>
      </ns0:pPr>
      <ns0:r>
        <ns0:t>Inputs and optional features</ns0:t>
      </ns0:r>
    </ns0:p>
    <ns0:p>
      <ns0:pPr>
        <ns0:keepLines/>
      </ns0:pPr>
      <ns0:r>
        <ns0:rPr>
          <ns0:b ns0:val="0"/>
        </ns0:rPr>
        <ns0:t>Supported inputs include authorized transcripts, manually entered project information, and approved documents. Transcript intake can use a customer-supplied transcript or an agreed meeting transcription participant, without requiring access to internal business systems. Source transcripts may remain in the customer’s environment or Zoom; processing copies also require agreed retention.</ns0:t>
      </ns0:r>
    </ns0:p>
    <ns0:p>
      <ns0:pPr>
        <ns0:keepLines/>
      </ns0:pPr>
      <ns0:r>
        <ns0:rPr>
          <ns0:b ns0:val="0"/>
        </ns0:rPr>
        <ns0:t>The optional Chrome extension supports tickets with URLs, screenshots, screen recordings, and files. Installation, capture scope, permissions, and retention require separate agreement. Confidential uploads require verified private storage.</ns0:t>
      </ns0:r>
    </ns0:p>
    <ns0:p>
      <ns0:pPr>
        <ns0:pStyle ns0:val="Heading2"/>
      </ns0:pPr>
      <ns0:r>
        <ns0:t>Security and AI processing</ns0:t>
      </ns0:r>
    </ns0:p>
    <ns0:p>
      <ns0:pPr>
        <ns0:keepLines/>
      </ns0:pPr>
      <ns0:r>
        <ns0:rPr>
          <ns0:b ns0:val="0"/>
        </ns0:rPr>
        <ns0:t>Janus uses signed-in access, tenant and organization permissions, and database row-level security. Document records and attachments both require access controls. Anthropic supports AI drafting and planning; OpenAI embeddings help match related project information. Relevant text is transmitted to these services. Patient information, credentials, and other protected data are outside the scope described here.</ns0:t>
      </ns0:r>
    </ns0:p>
    <ns0:p>
      <ns0:pPr>
        <ns0:pStyle ns0:val="Heading2"/>
      </ns0:pPr>
      <ns0:r>
        <ns0:t>Using this guide</ns0:t>
      </ns0:r>
    </ns0:p>
    <ns0:p>
      <ns0:pPr>
        <ns0:keepLines/>
      </ns0:pPr>
      <ns0:r>
        <ns0:rPr>
          <ns0:b ns0:val="0"/>
        </ns0:rPr>
        <ns0:t>This guide covers product capabilities, security, AI processing, the browser extension, privacy, providers, and contractual terms. Each engagement defines enabled features, permitted inputs, provider arrangements, storage controls, and retention. Service terms and the data processing addendum apply when incorporated into the customer’s agreement.</ns0:t>
      </ns0:r>
    </ns0:p>
    <ns0:p>
      <ns0:pPr>
        <ns0:pStyle ns0:val="ListBullet"/>
      </ns0:pPr>
      <ns0:r>
        <ns0:rPr>
          <ns0:b ns0:val="0"/>
        </ns0:rPr>
      </ns0:r>
      <ns0:hyperlink ns0:anchor="section_2">
        <ns0:r>
          <ns0:rPr>
            <ns0:color ns0:val="304FA0"/>
          </ns0:rPr>
          <ns0:t>Product overview</ns0:t>
        </ns0:r>
      </ns0:hyperlink>
      <ns0:r>
        <ns0:rPr>
          <ns0:b ns0:val="0"/>
        </ns0:rPr>
        <ns0:t xml:space="preserve"> and </ns0:t>
      </ns0:r>
      <ns0:hyperlink ns0:anchor="section_3">
        <ns0:r>
          <ns0:rPr>
            <ns0:color ns0:val="304FA0"/>
          </ns0:rPr>
          <ns0:t>security and data handling</ns0:t>
        </ns0:r>
      </ns0:hyperlink>
      <ns0:r>
        <ns0:rPr>
          <ns0:b ns0:val="0"/>
        </ns0:rPr>
      </ns0:r>
    </ns0:p>
    <ns0:p>
      <ns0:pPr>
        <ns0:pStyle ns0:val="ListBullet"/>
      </ns0:pPr>
      <ns0:r>
        <ns0:rPr>
          <ns0:b ns0:val="0"/>
        </ns0:rPr>
      </ns0:r>
      <ns0:hyperlink ns0:anchor="section_4">
        <ns0:r>
          <ns0:rPr>
            <ns0:color ns0:val="304FA0"/>
          </ns0:rPr>
          <ns0:t>AI and data use</ns0:t>
        </ns0:r>
      </ns0:hyperlink>
      <ns0:r>
        <ns0:rPr>
          <ns0:b ns0:val="0"/>
        </ns0:rPr>
        <ns0:t xml:space="preserve"> and </ns0:t>
      </ns0:r>
      <ns0:hyperlink ns0:anchor="section_5">
        <ns0:r>
          <ns0:rPr>
            <ns0:color ns0:val="304FA0"/>
          </ns0:rPr>
          <ns0:t>browser extension</ns0:t>
        </ns0:r>
      </ns0:hyperlink>
      <ns0:r>
        <ns0:rPr>
          <ns0:b ns0:val="0"/>
        </ns0:rPr>
      </ns0:r>
    </ns0:p>
    <ns0:p>
      <ns0:pPr>
        <ns0:pStyle ns0:val="ListBullet"/>
      </ns0:pPr>
      <ns0:r>
        <ns0:rPr>
          <ns0:b ns0:val="0"/>
        </ns0:rPr>
      </ns0:r>
      <ns0:hyperlink ns0:anchor="section_6">
        <ns0:r>
          <ns0:rPr>
            <ns0:color ns0:val="304FA0"/>
          </ns0:rPr>
          <ns0:t>Privacy notice</ns0:t>
        </ns0:r>
      </ns0:hyperlink>
      <ns0:r>
        <ns0:rPr>
          <ns0:b ns0:val="0"/>
        </ns0:rPr>
        <ns0:t xml:space="preserve"> and </ns0:t>
      </ns0:r>
      <ns0:hyperlink ns0:anchor="section_7">
        <ns0:r>
          <ns0:rPr>
            <ns0:color ns0:val="304FA0"/>
          </ns0:rPr>
          <ns0:t>service provider register</ns0:t>
        </ns0:r>
      </ns0:hyperlink>
      <ns0:r>
        <ns0:rPr>
          <ns0:b ns0:val="0"/>
        </ns0:rPr>
      </ns0:r>
    </ns0:p>
    <ns0:p>
      <ns0:pPr>
        <ns0:pStyle ns0:val="ListBullet"/>
      </ns0:pPr>
      <ns0:r>
        <ns0:rPr>
          <ns0:b ns0:val="0"/>
        </ns0:rPr>
      </ns0:r>
      <ns0:hyperlink ns0:anchor="section_8">
        <ns0:r>
          <ns0:rPr>
            <ns0:color ns0:val="304FA0"/>
          </ns0:rPr>
          <ns0:t>Service terms</ns0:t>
        </ns0:r>
      </ns0:hyperlink>
      <ns0:r>
        <ns0:rPr>
          <ns0:b ns0:val="0"/>
        </ns0:rPr>
        <ns0:t xml:space="preserve"> and </ns0:t>
      </ns0:r>
      <ns0:hyperlink ns0:anchor="section_9">
        <ns0:r>
          <ns0:rPr>
            <ns0:color ns0:val="304FA0"/>
          </ns0:rPr>
          <ns0:t>data processing addendum</ns0:t>
        </ns0:r>
      </ns0:hyperlink>
      <ns0:r>
        <ns0:rPr>
          <ns0:b ns0:val="0"/>
        </ns0:rPr>
      </ns0:r>
    </ns0:p>
    <ns0:p>
      <ns0:pPr>
        <ns0:keepLines/>
      </ns0:pPr>
      <ns0:r>
        <ns0:br ns0:type="page"/>
      </ns0:r>
    </ns0:p>
    <ns0:p>
      <ns0:bookmarkStart ns0:id="2" ns0:name="section_2"/>
      <ns0:pPr>
        <ns0:pStyle ns0:val="Heading1"/>
        <ns0:spacing ns0:before="400"/>
      </ns0:pPr>
      <ns0:r>
        <ns0:t>1  Product overview</ns0:t>
      </ns0:r>
      <ns0:bookmarkEnd ns0:id="2"/>
    </ns0:p>
    <ns0:p>
      <ns0:pPr>
        <ns0:pStyle ns0:val="Heading2"/>
      </ns0:pPr>
      <ns0:r>
        <ns0:t>What Janus does</ns0:t>
      </ns0:r>
    </ns0:p>
    <ns0:p>
      <ns0:pPr>
        <ns0:keepLines/>
      </ns0:pPr>
      <ns0:r>
        <ns0:rPr>
          <ns0:b ns0:val="0"/>
        </ns0:rPr>
        <ns0:t>Janus is a project delivery and client reporting platform that brings together project planning, requirements, work tracking, documentation, feedback, and delivery reporting. AI assists with drafting and organizing information; the project lead remains responsible for reviewing and refining deliverables.</ns0:t>
      </ns0:r>
    </ns0:p>
    <ns0:p>
      <ns0:pPr>
        <ns0:keepLines/>
      </ns0:pPr>
      <ns0:r>
        <ns0:rPr>
          <ns0:b ns0:val="0"/>
        </ns0:rPr>
        <ns0:t>Meeting transcripts are one input. Janus also uses manually entered project information and approved documentation to help construct epics, features, work items, user stories, requirements, specifications, and supporting documents. It maintains RAID logs, automatically plans work into sprints, and tracks timeline changes. Automated plans remain subject to review and do not change contractual commitments.</ns0:t>
      </ns0:r>
    </ns0:p>
    <ns0:p>
      <ns0:pPr>
        <ns0:pStyle ns0:val="Heading2"/>
      </ns0:pPr>
      <ns0:r>
        <ns0:t>Customer visibility and reporting</ns0:t>
      </ns0:r>
    </ns0:p>
    <ns0:p>
      <ns0:pPr>
        <ns0:keepLines/>
      </ns0:pPr>
      <ns0:r>
        <ns0:rPr>
          <ns0:b ns0:val="0"/>
        </ns0:rPr>
        <ns0:t>Janus helps clients understand what is being delivered, what is coming next, and how the work relates to the engagement. Depending on the agreed setup, it supports:</ns0:t>
      </ns0:r>
    </ns0:p>
    <ns0:p>
      <ns0:pPr>
        <ns0:pStyle ns0:val="ListBullet"/>
      </ns0:pPr>
      <ns0:r>
        <ns0:rPr>
          <ns0:b ns0:val="0"/>
        </ns0:rPr>
      </ns0:r>
      <ns0:r>
        <ns0:rPr>
          <ns0:b/>
        </ns0:rPr>
        <ns0:t>Delivery progress:</ns0:t>
      </ns0:r>
      <ns0:r>
        <ns0:rPr>
          <ns0:b ns0:val="0"/>
        </ns0:rPr>
        <ns0:t xml:space="preserve"> Current and upcoming work, unscheduled items, past work, and the status of related epics and features.</ns0:t>
      </ns0:r>
    </ns0:p>
    <ns0:p>
      <ns0:pPr>
        <ns0:pStyle ns0:val="ListBullet"/>
      </ns0:pPr>
      <ns0:r>
        <ns0:rPr>
          <ns0:b ns0:val="0"/>
        </ns0:rPr>
      </ns0:r>
      <ns0:r>
        <ns0:rPr>
          <ns0:b/>
        </ns0:rPr>
        <ns0:t>Planning and timelines:</ns0:t>
      </ns0:r>
      <ns0:r>
        <ns0:rPr>
          <ns0:b ns0:val="0"/>
        </ns0:rPr>
        <ns0:t xml:space="preserve"> Work organized by month and sprint/week, estimated delivery dates, and forecasts that help explain changes in the plan.</ns0:t>
      </ns0:r>
    </ns0:p>
    <ns0:p>
      <ns0:pPr>
        <ns0:pStyle ns0:val="ListBullet"/>
      </ns0:pPr>
      <ns0:r>
        <ns0:rPr>
          <ns0:b ns0:val="0"/>
        </ns0:rPr>
      </ns0:r>
      <ns0:r>
        <ns0:rPr>
          <ns0:b/>
        </ns0:rPr>
        <ns0:t>Contract usage:</ns0:t>
      </ns0:r>
      <ns0:r>
        <ns0:rPr>
          <ns0:b ns0:val="0"/>
        </ns0:rPr>
        <ns0:t xml:space="preserve"> Tracking contract capacity, completed work, forecast commitments, and remaining or over-allocated capacity. The project lead can use these records in agreed client reports; the reporting format and units depend on the contract.</ns0:t>
      </ns0:r>
    </ns0:p>
    <ns0:p>
      <ns0:pPr>
        <ns0:pStyle ns0:val="ListBullet"/>
      </ns0:pPr>
      <ns0:r>
        <ns0:rPr>
          <ns0:b ns0:val="0"/>
        </ns0:rPr>
      </ns0:r>
      <ns0:r>
        <ns0:rPr>
          <ns0:b/>
        </ns0:rPr>
        <ns0:t>Reports and shared information:</ns0:t>
      </ns0:r>
      <ns0:r>
        <ns0:rPr>
          <ns0:b ns0:val="0"/>
        </ns0:rPr>
        <ns0:t xml:space="preserve"> Access to reports already issued to the client, shared documentation, and permitted meeting summaries and next steps.</ns0:t>
      </ns0:r>
    </ns0:p>
    <ns0:p>
      <ns0:pPr>
        <ns0:pStyle ns0:val="ListBullet"/>
      </ns0:pPr>
      <ns0:r>
        <ns0:rPr>
          <ns0:b ns0:val="0"/>
        </ns0:rPr>
      </ns0:r>
      <ns0:r>
        <ns0:rPr>
          <ns0:b/>
        </ns0:rPr>
        <ns0:t>Feedback and requests:</ns0:t>
      </ns0:r>
      <ns0:r>
        <ns0:rPr>
          <ns0:b ns0:val="0"/>
        </ns0:rPr>
        <ns0:t xml:space="preserve"> Submitting and tracking tickets so questions, issues, and requests can be connected to delivery work.</ns0:t>
      </ns0:r>
    </ns0:p>
    <ns0:p>
      <ns0:pPr>
        <ns0:keepLines/>
      </ns0:pPr>
      <ns0:r>
        <ns0:rPr>
          <ns0:b ns0:val="0"/>
        </ns0:rPr>
        <ns0:t>Portal access is scoped to the user's organization and permissions. A client report does not expose every internal record, cost entry, or draft. Contract usage supports delivery conversations; it does not replace agreed invoicing or change scope and fees automatically.</ns0:t>
      </ns0:r>
    </ns0:p>
    <ns0:p>
      <ns0:pPr>
        <ns0:pStyle ns0:val="Heading2"/>
      </ns0:pPr>
      <ns0:r>
        <ns0:t>Delivery model and release information</ns0:t>
      </ns0:r>
    </ns0:p>
    <ns0:p>
      <ns0:pPr>
        <ns0:keepLines/>
      </ns0:pPr>
      <ns0:r>
        <ns0:rPr>
          <ns0:b ns0:val="0"/>
        </ns0:rPr>
        <ns0:t xml:space="preserve">Janus is a custom hosted application with an optional Chrome extension. Features are enabled according to the customer’s agreement. Source package version: </ns0:t>
      </ns0:r>
      <ns0:r>
        <ns0:rPr>
          <ns0:b ns0:val="0"/>
        </ns0:rPr>
        <ns0:t>0.1.0</ns0:t>
      </ns0:r>
      <ns0:r>
        <ns0:rPr>
          <ns0:b ns0:val="0"/>
        </ns0:rPr>
        <ns0:t xml:space="preserve">. Chrome extension manifest version: </ns0:t>
      </ns0:r>
      <ns0:r>
        <ns0:rPr>
          <ns0:b ns0:val="0"/>
        </ns0:rPr>
        <ns0:t>1.0.4</ns0:t>
      </ns0:r>
      <ns0:r>
        <ns0:rPr>
          <ns0:b ns0:val="0"/>
        </ns0:rPr>
        <ns0:t>. Deployment and installed-extension versions may differ.</ns0:t>
      </ns0:r>
    </ns0:p>
    <ns0:p>
      <ns0:bookmarkStart ns0:id="3" ns0:name="section_3"/>
      <ns0:pPr>
        <ns0:pStyle ns0:val="Heading1"/>
        <ns0:spacing ns0:before="400"/>
      </ns0:pPr>
      <ns0:r>
        <ns0:t>2  Security and data handling</ns0:t>
      </ns0:r>
      <ns0:bookmarkEnd ns0:id="3"/>
    </ns0:p>
    <ns0:p>
      <ns0:pPr>
        <ns0:keepLines/>
      </ns0:pPr>
      <ns0:r>
        <ns0:rPr>
          <ns0:b ns0:val="0"/>
        </ns0:rPr>
        <ns0:t>This overview explains application access controls and the handling requirements for customer information. Available workflows and permitted inputs depend on the customer’s agreement.</ns0:t>
      </ns0:r>
    </ns0:p>
    <ns0:p>
      <ns0:pPr>
        <ns0:pStyle ns0:val="Heading2"/>
      </ns0:pPr>
      <ns0:r>
        <ns0:t>Supported inputs and integrations</ns0:t>
      </ns0:r>
    </ns0:p>
    <ns0:p>
      <ns0:pPr>
        <ns0:keepLines/>
      </ns0:pPr>
      <ns0:r>
        <ns0:rPr>
          <ns0:b ns0:val="0"/>
        </ns0:rPr>
        <ns0:t>Janus can receive an authorized meeting transcript or use a meeting transcription participant, depending on the agreed meeting setup. The base transcript workflow does not require an integration with, or credentials for, a customer’s internal applications, databases, or file systems. The optional extension has a separate browser-permission and capture scope described in the browser extension section. Meeting participation depends on the selected platform and approved transcription setup.</ns0:t>
      </ns0:r>
    </ns0:p>
    <ns0:p>
      <ns0:pPr>
        <ns0:keepLines/>
      </ns0:pPr>
      <ns0:r>
        <ns0:rPr>
          <ns0:b ns0:val="0"/>
        </ns0:rPr>
        <ns0:t>Supported inputs include meeting transcripts, project information entered by the project lead, and selected documentation uploaded with the client's approval to help organize information more quickly. Approval must identify the documents, their permitted uses, and any AI-provider processing. Screenshots and screen recordings are outside the initial transcript/document workflow unless the optional extension or another capture method is separately approved. Unapproved internal system files, patient information, credentials, and other protected data remain outside scope. Transcripts and requirements can still contain confidential or personal information; meeting discussions and manual entries must stay within the agreed scope. This is an operating restriction, not an automatic detection or redaction guarantee.</ns0:t>
      </ns0:r>
    </ns0:p>
    <ns0:p>
      <ns0:pPr>
        <ns0:pStyle ns0:val="Heading2"/>
      </ns0:pPr>
      <ns0:r>
        <ns0:t>How information is protected</ns0:t>
      </ns0:r>
    </ns0:p>
    <ns0:p>
      <ns0:pPr>
        <ns0:pStyle ns0:val="ListBullet"/>
      </ns0:pPr>
      <ns0:r>
        <ns0:t>Encryption: Supabase protects hosted customer data with AES-256 encryption at rest and TLS in transit. Vercel provides HTTPS/TLS for connections to its platform and AES-256 encryption for data stored on disk. These are provider-managed protections; access to project records and files is controlled separately.</ns0:t>
      </ns0:r>
    </ns0:p>
    <ns0:p>
      <ns0:pPr>
        <ns0:pStyle ns0:val="ListBullet"/>
      </ns0:pPr>
      <ns0:r>
        <ns0:rPr>
          <ns0:b ns0:val="0"/>
        </ns0:rPr>
      </ns0:r>
      <ns0:r>
        <ns0:rPr>
          <ns0:b/>
        </ns0:rPr>
        <ns0:t>Signed-in access:</ns0:t>
      </ns0:r>
      <ns0:r>
        <ns0:rPr>
          <ns0:b ns0:val="0"/>
        </ns0:rPr>
        <ns0:t xml:space="preserve"> Normal application requests use the signed-in user's session to access project records.</ns0:t>
      </ns0:r>
    </ns0:p>
    <ns0:p>
      <ns0:pPr>
        <ns0:pStyle ns0:val="ListBullet"/>
      </ns0:pPr>
      <ns0:r>
        <ns0:rPr>
          <ns0:b ns0:val="0"/>
        </ns0:rPr>
      </ns0:r>
      <ns0:r>
        <ns0:rPr>
          <ns0:b/>
        </ns0:rPr>
        <ns0:t>Database permissions:</ns0:t>
      </ns0:r>
      <ns0:r>
        <ns0:rPr>
          <ns0:b ns0:val="0"/>
        </ns0:rPr>
        <ns0:t xml:space="preserve"> Organization and role-based permissions, enforced through row-level security (RLS), restrict who can view or change project information in shared infrastructure.</ns0:t>
      </ns0:r>
    </ns0:p>
    <ns0:p>
      <ns0:pPr>
        <ns0:pStyle ns0:val="ListBullet"/>
      </ns0:pPr>
      <ns0:r>
        <ns0:t>Document access: Organization membership and document-level access rules control who can view document records in Janus.</ns0:t>
      </ns0:r>
    </ns0:p>
    <ns0:p>
      <ns0:pPr>
        <ns0:pStyle ns0:val="ListBullet"/>
      </ns0:pPr>
      <ns0:r>
        <ns0:rPr>
          <ns0:b ns0:val="0"/>
        </ns0:rPr>
      </ns0:r>
      <ns0:r>
        <ns0:rPr>
          <ns0:b/>
        </ns0:rPr>
        <ns0:t>Controlled service access:</ns0:t>
      </ns0:r>
      <ns0:r>
        <ns0:rPr>
          <ns0:b ns0:val="0"/>
        </ns0:rPr>
        <ns0:t xml:space="preserve"> AI processing uses protected service credentials. Authorized staff and service providers may access customer information to deliver and support the agreed services.</ns0:t>
      </ns0:r>
    </ns0:p>
    <ns0:p>
      <ns0:pPr>
        <ns0:pStyle ns0:val="ListBullet"/>
      </ns0:pPr>
      <ns0:r>
        <ns0:rPr>
          <ns0:b ns0:val="0"/>
        </ns0:rPr>
      </ns0:r>
      <ns0:r>
        <ns0:rPr>
          <ns0:b/>
        </ns0:rPr>
        <ns0:t>Human review:</ns0:t>
      </ns0:r>
      <ns0:r>
        <ns0:rPr>
          <ns0:b ns0:val="0"/>
        </ns0:rPr>
        <ns0:t xml:space="preserve"> The project lead reviews AI-drafted requirements and documentation before relying on them as deliverables. AI-generated text and schedules can be incomplete or incorrect.</ns0:t>
      </ns0:r>
    </ns0:p>
    <ns0:p>
      <ns0:pPr>
        <ns0:keepLines/>
      </ns0:pPr>
      <ns0:r>
        <ns0:t>Approved documents: Client approval defines which documents may be provided, their intended use, any AI processing, and retention. Confidential documents must be shared through an agreed, access-controlled channel.</ns0:t>
      </ns0:r>
    </ns0:p>
    <ns0:p>
      <ns0:pPr>
        <ns0:pStyle ns0:val="Heading2"/>
      </ns0:pPr>
      <ns0:r>
        <ns0:t>Retention and deletion</ns0:t>
      </ns0:r>
    </ns0:p>
    <ns0:p>
      <ns0:pPr>
        <ns0:keepLines/>
      </ns0:pPr>
      <ns0:r>
        <ns0:rPr>
          <ns0:b ns0:val="0"/>
        </ns0:rPr>
        <ns0:t>Full transcripts are retained in the client's own environment and provided to the project lead manually, or retained in Zoom. Supplied transcripts and temporary processing copies are covered by the engagement’s storage and retention requirements.</ns0:t>
      </ns0:r>
    </ns0:p>
    <ns0:p>
      <ns0:pPr>
        <ns0:keepLines/>
      </ns0:pPr>
      <ns0:r>
        <ns0:rPr>
          <ns0:b ns0:val="0"/>
        </ns0:rPr>
        <ns0:t>Each engagement must specify retention for audio if captured, full transcripts and supplied copies, approved documents, project records, generated content, embeddings, logs, and backups in the engagement’s written retention schedule. Zoom retention and region depend on the relevant account configuration. Deletion periods and provider retention are governed by the written schedule.</ns0:t>
      </ns0:r>
    </ns0:p>
    <ns0:p>
      <ns0:pPr>
        <ns0:keepLines/>
      </ns0:pPr>
      <ns0:r>
        <ns0:rPr>
          <ns0:b ns0:val="0"/>
        </ns0:rPr>
        <ns0:t>Requests to access, correct, export, or delete client information go to the project lead through the existing engagement contact channel. Deletion must account for upstream copies and derived records, not just the visible Janus record. Provider retention and backup expiry must be included in the deletion process.</ns0:t>
      </ns0:r>
    </ns0:p>
    <ns0:p>
      <ns0:bookmarkStart ns0:id="4" ns0:name="section_4"/>
      <ns0:pPr>
        <ns0:pStyle ns0:val="Heading1"/>
        <ns0:spacing ns0:before="400"/>
      </ns0:pPr>
      <ns0:r>
        <ns0:t>3  AI and data use</ns0:t>
      </ns0:r>
      <ns0:bookmarkEnd ns0:id="4"/>
    </ns0:p>
    <ns0:p>
      <ns0:pPr>
        <ns0:pStyle ns0:val="Heading2"/>
      </ns0:pPr>
      <ns0:r>
        <ns0:t>Drafting and human review</ns0:t>
      </ns0:r>
    </ns0:p>
    <ns0:p>
      <ns0:pPr>
        <ns0:keepLines/>
      </ns0:pPr>
      <ns0:r>
        <ns0:rPr>
          <ns0:b ns0:val="0"/>
        </ns0:rPr>
        <ns0:t>Janus uses AI to help draft and organize epics, features, work items, requirements, user stories, documentation, meeting-derived insights, and plans. Anthropic supports drafting, synthesis, and planning. Relevant project text, meeting excerpts, and approved document content may be sent to its API. The project lead reviews and refines outputs; generated content and schedules may contain errors.</ns0:t>
      </ns0:r>
    </ns0:p>
    <ns0:p>
      <ns0:pPr>
        <ns0:keepLines/>
      </ns0:pPr>
      <ns0:r>
        <ns0:rPr>
          <ns0:b ns0:val="0"/>
        </ns0:rPr>
        <ns0:t>AI-assisted scheduling and reporting do not automatically amend agreed scope, fees, delivery dates, or acceptance terms. Customers and the project lead remain responsible for approving commitments.</ns0:t>
      </ns0:r>
    </ns0:p>
    <ns0:p>
      <ns0:pPr>
        <ns0:pStyle ns0:val="Heading2"/>
      </ns0:pPr>
      <ns0:r>
        <ns0:t>Finding related information</ns0:t>
      </ns0:r>
    </ns0:p>
    <ns0:p>
      <ns0:pPr>
        <ns0:keepLines/>
      </ns0:pPr>
      <ns0:r>
        <ns0:rPr>
          <ns0:b ns0:val="0"/>
        </ns0:rPr>
        <ns0:t xml:space="preserve">Janus uses OpenAI embeddings to help find related project information. Selected project text is sent to OpenAI for this purpose.</ns0:t>
      </ns0:r>
      <ns0:r>
        <ns0:rPr>
          <ns0:b ns0:val="0"/>
        </ns0:rPr>
        <ns0:t/>
      </ns0:r>
      <ns0:r>
        <ns0:rPr>
          <ns0:b ns0:val="0"/>
        </ns0:rPr>
        <ns0:t/>
      </ns0:r>
    </ns0:p>
    <ns0:p>
      <ns0:pPr>
        <ns0:keepLines/>
      </ns0:pPr>
      <ns0:r>
        <ns0:rPr>
          <ns0:b ns0:val="0"/>
        </ns0:rPr>
        <ns0:t>Embeddings are numerical representations of text used to find related information. They are not anonymous data. Generated content and embeddings remain subject to customer access and retention requirements.</ns0:t>
      </ns0:r>
    </ns0:p>
    <ns0:p>
      <ns0:pPr>
        <ns0:pStyle ns0:val="Heading2"/>
      </ns0:pPr>
      <ns0:r>
        <ns0:t>Permitted information and provider handling</ns0:t>
      </ns0:r>
    </ns0:p>
    <ns0:p>
      <ns0:pPr>
        <ns0:keepLines/>
      </ns0:pPr>
      <ns0:r>
        <ns0:rPr>
          <ns0:b ns0:val="0"/>
        </ns0:rPr>
        <ns0:t>Document approval must cover any AI processing. Browser-extension captures and submitted files may enter AI processing only when authorized for the selected workflow. The presence of content in Janus does not itself authorize every possible AI use.</ns0:t>
      </ns0:r>
    </ns0:p>
    <ns0:p>
      <ns0:pPr>
        <ns0:keepLines/>
      </ns0:pPr>
      <ns0:r>
        <ns0:rPr>
          <ns0:b ns0:val="0"/>
        </ns0:rPr>
        <ns0:t>The service terms prohibit selling customer content, using it for advertising, or using it to train general-purpose models when those terms are incorporated into the customer’s agreement. Provider accounts used for that engagement must support the same restrictions.</ns0:t>
      </ns0:r>
    </ns0:p>
    <ns0:p>
      <ns0:pPr>
        <ns0:keepLines/>
      </ns0:pPr>
      <ns0:r>
        <ns0:rPr>
          <ns0:b ns0:val="0"/>
        </ns0:rPr>
        <ns0:t xml:space="preserve">The </ns0:t>
      </ns0:r>
      <ns0:hyperlink ns0:anchor="section_7">
        <ns0:r>
          <ns0:rPr>
            <ns0:color ns0:val="304FA0"/>
          </ns0:rPr>
          <ns0:t>service provider register</ns0:t>
        </ns0:r>
      </ns0:hyperlink>
      <ns0:r>
        <ns0:rPr>
          <ns0:b ns0:val="0"/>
        </ns0:rPr>
        <ns0:t xml:space="preserve"> identifies the providers involved and their locations. Processing and retention arrangements are agreed before use. Primary hosting regions do not establish every downstream AI processing location.</ns0:t>
      </ns0:r>
    </ns0:p>
    <ns0:p>
      <ns0:bookmarkStart ns0:id="5" ns0:name="section_5"/>
      <ns0:pPr>
        <ns0:pStyle ns0:val="Heading1"/>
        <ns0:spacing ns0:before="400"/>
      </ns0:pPr>
      <ns0:r>
        <ns0:t>4  Browser extension</ns0:t>
      </ns0:r>
      <ns0:bookmarkEnd ns0:id="5"/>
    </ns0:p>
    <ns0:p>
      <ns0:pPr>
        <ns0:pStyle ns0:val="Heading2"/>
      </ns0:pPr>
      <ns0:r>
        <ns0:t>Purpose and capture scope</ns0:t>
      </ns0:r>
    </ns0:p>
    <ns0:p>
      <ns0:pPr>
        <ns0:keepLines/>
      </ns0:pPr>
      <ns0:r>
        <ns0:rPr>
          <ns0:b ns0:val="0"/>
        </ns0:rPr>
        <ns0:t>Janus includes an optional Chrome extension, “Janus — Raise a ticket,” for submitting feedback or requests while viewing a page. Users enter a subject, description, and category, and can attach a page URL, screenshot, screen recording, or selected file. Submitted tickets are associated with the signed-in user and organization.</ns0:t>
      </ns0:r>
    </ns0:p>
    <ns0:p>
      <ns0:pPr>
        <ns0:keepLines/>
      </ns0:pPr>
      <ns0:r>
        <ns0:rPr>
          <ns0:b ns0:val="0"/>
        </ns0:rPr>
        <ns0:t>Capture is initiated by the user. The extension can request optional access to all websites for URL/screenshot capture; permission removal is scheduled after five minutes of inactivity. A screenshot can also attach the page URL, and submission can attach the current URL if permission remains available and the user has not explicitly removed it. The extension does not continuously monitor browsing history. Screen recording uses the browser's sharing chooser and may include audio when available and selected.</ns0:t>
      </ns0:r>
    </ns0:p>
    <ns0:p>
      <ns0:pPr>
        <ns0:keepLines/>
      </ns0:pPr>
      <ns0:r>
        <ns0:rPr>
          <ns0:b ns0:val="0"/>
        </ns0:rPr>
        <ns0:t>Ticket drafts, attachments, and some sign-in information can remain in local browser storage. Submission does not guarantee removal of local copies. Retention and access requirements therefore cover both local devices and cloud storage.</ns0:t>
      </ns0:r>
    </ns0:p>
    <ns0:p>
      <ns0:pPr>
        <ns0:keepLines/>
      </ns0:pPr>
      <ns0:r>
        <ns0:t>The extension is not required for meeting transcript processing or ordinary portal access. For each customer, installation, browser permissions, and the categories of content that may be captured must be agreed separately. It can capture content visible in internal systems without a direct system integration. Users must review content and URLs for confidential information, credentials, or protected data before submission.</ns0:t>
      </ns0:r>
    </ns0:p>
    <ns0:p>
      <ns0:bookmarkStart ns0:id="6" ns0:name="section_6"/>
      <ns0:pPr>
        <ns0:pStyle ns0:val="Heading1"/>
        <ns0:spacing ns0:before="400"/>
      </ns0:pPr>
      <ns0:r>
        <ns0:t>5  Privacy notice</ns0:t>
      </ns0:r>
      <ns0:bookmarkEnd ns0:id="6"/>
    </ns0:p>
    <ns0:p>
      <ns0:pPr>
        <ns0:keepLines/>
      </ns0:pPr>
      <ns0:r>
        <ns0:rPr>
          <ns0:b ns0:val="0"/>
        </ns0:rPr>
        <ns0:t>This notice explains how Janus handles information about customers, users, meeting participants, and people referenced in project materials. The applicable services agreement governs processing carried out on a customer’s behalf.</ns0:t>
      </ns0:r>
    </ns0:p>
    <ns0:p>
      <ns0:pPr>
        <ns0:pStyle ns0:val="Heading2"/>
      </ns0:pPr>
      <ns0:r>
        <ns0:t>Information and purpose</ns0:t>
      </ns0:r>
    </ns0:p>
    <ns0:p>
      <ns0:pPr>
        <ns0:keepLines/>
      </ns0:pPr>
      <ns0:r>
        <ns0:rPr>
          <ns0:b ns0:val="0"/>
        </ns0:rPr>
        <ns0:t>Janus supports project delivery, requirements, documentation, feedback, planning, and reporting on progress and contract usage. Information may include account names and business contact details; organization membership and permissions; meeting statements and metadata; approved documents; project records; schedules; contract capacity and usage; correspondence; and AI-generated outputs and embeddings.</ns0:t>
      </ns0:r>
    </ns0:p>
    <ns0:p>
      <ns0:pPr>
        <ns0:keepLines/>
      </ns0:pPr>
      <ns0:r>
        <ns0:rPr>
          <ns0:b ns0:val="0"/>
        </ns0:rPr>
        <ns0:t>For client project content, Janus is used on the client’s documented instructions. Account administration, business communications, and service security may involve separate responsibilities under the applicable agreement and law.</ns0:t>
      </ns0:r>
    </ns0:p>
    <ns0:p>
      <ns0:pPr>
        <ns0:keepLines/>
      </ns0:pPr>
      <ns0:r>
        <ns0:rPr>
          <ns0:b ns0:val="0"/>
        </ns0:rPr>
        <ns0:t>Information is used to deliver the agreed services, draft and organize work, find related records, plan and track delivery, manage access, prepare reports, and respond to requests. The project lead reviews and refines AI drafts before presenting them as final deliverables.</ns0:t>
      </ns0:r>
    </ns0:p>
    <ns0:p>
      <ns0:pPr>
        <ns0:pStyle ns0:val="Heading2"/>
      </ns0:pPr>
      <ns0:r>
        <ns0:t>Sources and optional capture</ns0:t>
      </ns0:r>
    </ns0:p>
    <ns0:p>
      <ns0:pPr>
        <ns0:keepLines/>
      </ns0:pPr>
      <ns0:r>
        <ns0:rPr>
          <ns0:b ns0:val="0"/>
        </ns0:rPr>
        <ns0:t>Supported transcript workflows use source transcripts retained in the customer’s environment and supplied manually, or retained in Zoom. Copies provided for processing are also covered by the engagement’s retention arrangements. Selected documents require approval covering content, purpose, AI processing, and retention.</ns0:t>
      </ns0:r>
    </ns0:p>
    <ns0:p>
      <ns0:pPr>
        <ns0:keepLines/>
      </ns0:pPr>
      <ns0:r>
        <ns0:rPr>
          <ns0:b ns0:val="0"/>
        </ns0:rPr>
        <ns0:t>The optional Chrome extension can submit ticket text, page URLs, screenshots, screen recordings with available and selected audio, and files. Capture is user initiated. A screenshot or submission can include the page URL when permission is available unless the user has explicitly removed it. Optional website permission is scheduled for removal after five minutes of inactivity. Drafts, attachments, and some sign-in information may persist locally. Users must review captured content before submitting it.</ns0:t>
      </ns0:r>
    </ns0:p>
    <ns0:p>
      <ns0:pPr>
        <ns0:keepLines/>
      </ns0:pPr>
      <ns0:r>
        <ns0:t>The extension requires separate approval and is not necessary for transcript processing or portal access. Patient information, credentials, and other protected data are outside the scope described here.</ns0:t>
      </ns0:r>
    </ns0:p>
    <ns0:p>
      <ns0:pPr>
        <ns0:pStyle ns0:val="Heading2"/>
      </ns0:pPr>
      <ns0:r>
        <ns0:t>Access and service providers</ns0:t>
      </ns0:r>
    </ns0:p>
    <ns0:p>
      <ns0:pPr>
        <ns0:keepLines/>
      </ns0:pPr>
      <ns0:r>
        <ns0:rPr>
          <ns0:b ns0:val="0"/>
        </ns0:rPr>
        <ns0:t>Authorized users access customer information according to their organization and role. Access controls apply to project records and documents. Authorized administrators and service providers may access information to operate and support the service.</ns0:t>
      </ns0:r>
    </ns0:p>
    <ns0:p>
      <ns0:pPr>
        <ns0:keepLines/>
      </ns0:pPr>
      <ns0:r>
        <ns0:rPr>
          <ns0:b ns0:val="0"/>
        </ns0:rPr>
        <ns0:t xml:space="preserve">Hosting, authentication, storage, transcription, drafting, and embedding providers process information needed for their services. Relevant text is sent to AI APIs. The </ns0:t>
      </ns0:r>
      <ns0:hyperlink ns0:anchor="section_7">
        <ns0:r>
          <ns0:rPr>
            <ns0:color ns0:val="304FA0"/>
          </ns0:rPr>
          <ns0:t>provider overview</ns0:t>
        </ns0:r>
      </ns0:hyperlink>
      <ns0:r>
        <ns0:rPr>
          <ns0:b ns0:val="0"/>
        </ns0:rPr>
        <ns0:t xml:space="preserve"> describes these services and primary hosting locations; these locations do not establish every downstream processing, logging, or backup location.</ns0:t>
      </ns0:r>
    </ns0:p>
    <ns0:p>
      <ns0:pPr>
        <ns0:keepLines/>
      </ns0:pPr>
      <ns0:r>
        <ns0:rPr>
          <ns0:b ns0:val="0"/>
        </ns0:rPr>
        <ns0:t>The service terms restrict the sale of client information, advertising use, and training of general-purpose AI models when incorporated into the customer’s agreement. Provider arrangements for that engagement must support these restrictions. Necessary legal disclosures remain subject to applicable law and confidentiality obligations.</ns0:t>
      </ns0:r>
    </ns0:p>
    <ns0:p>
      <ns0:pPr>
        <ns0:pStyle ns0:val="Heading2"/>
      </ns0:pPr>
      <ns0:r>
        <ns0:t>Retention and requests</ns0:t>
      </ns0:r>
    </ns0:p>
    <ns0:p>
      <ns0:pPr>
        <ns0:keepLines/>
      </ns0:pPr>
      <ns0:r>
        <ns0:rPr>
          <ns0:b ns0:val="0"/>
        </ns0:rPr>
        <ns0:t>Retention is set by the agreed purpose, client instructions, contractual requirements, and applicable legal obligations. The engagement must define deletion periods for transcripts and processing copies, documents, project records, outputs, embeddings, local extension data, logs, backups, and provider-held copies before processing begins. Application, backup, and provider retention may differ and must be addressed in that schedule.</ns0:t>
      </ns0:r>
    </ns0:p>
    <ns0:p>
      <ns0:pPr>
        <ns0:keepLines/>
      </ns0:pPr>
      <ns0:r>
        <ns0:rPr>
          <ns0:b ns0:val="0"/>
        </ns0:rPr>
        <ns0:t>Requests for access, correction, export, deletion, or privacy information can be raised with the project lead through the existing engagement contact channel. Identity and authority may need verification. Requests concerning information processed for the client are coordinated with the client. Applicable statutory rights remain unaffected.</ns0:t>
      </ns0:r>
    </ns0:p>
    <ns0:p>
      <ns0:pPr>
        <ns0:keepLines/>
      </ns0:pPr>
      <ns0:r>
        <ns0:rPr>
          <ns0:b ns0:val="0"/>
        </ns0:rPr>
        <ns0:t>Material changes to the agreed handling of client information will be communicated through the engagement’s established written communications and remain subject to the applicable agreement.</ns0:t>
      </ns0:r>
    </ns0:p>
    <ns0:p>
      <ns0:bookmarkStart ns0:id="7" ns0:name="section_7"/>
      <ns0:pPr>
        <ns0:pStyle ns0:val="Heading1"/>
        <ns0:spacing ns0:before="400"/>
      </ns0:pPr>
      <ns0:r>
        <ns0:t>6  Service provider register</ns0:t>
      </ns0:r>
      <ns0:bookmarkEnd ns0:id="7"/>
    </ns0:p>
    <ns0:p>
      <ns0:pPr>
        <ns0:keepLines/>
      </ns0:pPr>
      <ns0:r>
        <ns0:rPr>
          <ns0:b ns0:val="0"/>
        </ns0:rPr>
        <ns0:t>This register identifies services supporting Janus, the information they process, and their hosting or processing scope. The customer’s agreement identifies the authorized services and applicable account arrangements.</ns0:t>
      </ns0:r>
    </ns0:p>
    <ns0:tbl>
      <ns0:tblPr>
        <ns0:tblW ns0:type="auto" ns0:w="0"/>
        <ns0:jc ns0:val="center"/>
        <ns0:tblLayout ns0:type="fixed"/>
        <ns0:tblLook ns0:firstColumn="1" ns0:firstRow="1" ns0:lastColumn="0" ns0:lastRow="0" ns0:noHBand="0" ns0:noVBand="1" ns0:val="04A0"/>
        <ns0:tblBorders>
          <ns0:top ns0:val="single" ns0:sz="4" ns0:color="D9D9D9"/>
          <ns0:left ns0:val="single" ns0:sz="4" ns0:color="D9D9D9"/>
          <ns0:bottom ns0:val="single" ns0:sz="4" ns0:color="D9D9D9"/>
          <ns0:right ns0:val="single" ns0:sz="4" ns0:color="D9D9D9"/>
          <ns0:insideH ns0:val="single" ns0:sz="4" ns0:color="D9D9D9"/>
          <ns0:insideV ns0:val="single" ns0:sz="4" ns0:color="D9D9D9"/>
        </ns0:tblBorders>
      </ns0:tblPr>
      <ns0:tblGrid>
        <ns0:gridCol ns0:w="1944"/>
        <ns0:gridCol ns0:w="4680"/>
        <ns0:gridCol ns0:w="3312"/>
      </ns0:tblGrid>
      <ns0:tr>
        <ns0:trPr>
          <ns0:cantSplit/>
          <ns0:tblHeader/>
        </ns0:trPr>
        <ns0:tc>
          <ns0:tcPr>
            <ns0:tcW ns0:type="dxa" ns0:w="1944"/>
            <ns0:vAlign ns0:val="center"/>
            <ns0:tcMar>
              <ns0:top ns0:w="100" ns0:type="dxa"/>
              <ns0:left ns0:w="100" ns0:type="dxa"/>
              <ns0:bottom ns0:w="100" ns0:type="dxa"/>
              <ns0:right ns0:w="100" ns0:type="dxa"/>
            </ns0:tcMar>
            <ns0:shd ns0:fill="E9EDF8"/>
          </ns0:tcPr>
          <ns0:p>
            <ns0:pPr>
              <ns0:spacing ns0:after="40" ns0:before="40" ns0:line="252" ns0:lineRule="auto"/>
            </ns0:pPr>
            <ns0:r>
              <ns0:rPr>
                <ns0:b/>
                <ns0:sz ns0:val="20"/>
              </ns0:rPr>
              <ns0:t>Service</ns0:t>
            </ns0:r>
          </ns0:p>
        </ns0:tc>
        <ns0:tc>
          <ns0:tcPr>
            <ns0:tcW ns0:type="dxa" ns0:w="4680"/>
            <ns0:vAlign ns0:val="center"/>
            <ns0:tcMar>
              <ns0:top ns0:w="100" ns0:type="dxa"/>
              <ns0:left ns0:w="100" ns0:type="dxa"/>
              <ns0:bottom ns0:w="100" ns0:type="dxa"/>
              <ns0:right ns0:w="100" ns0:type="dxa"/>
            </ns0:tcMar>
            <ns0:shd ns0:fill="E9EDF8"/>
          </ns0:tcPr>
          <ns0:p>
            <ns0:pPr>
              <ns0:spacing ns0:after="40" ns0:before="40" ns0:line="252" ns0:lineRule="auto"/>
            </ns0:pPr>
            <ns0:r>
              <ns0:rPr>
                <ns0:b/>
                <ns0:sz ns0:val="20"/>
              </ns0:rPr>
              <ns0:t>Purpose and information</ns0:t>
            </ns0:r>
          </ns0:p>
        </ns0:tc>
        <ns0:tc>
          <ns0:tcPr>
            <ns0:tcW ns0:type="dxa" ns0:w="3312"/>
            <ns0:vAlign ns0:val="center"/>
            <ns0:tcMar>
              <ns0:top ns0:w="100" ns0:type="dxa"/>
              <ns0:left ns0:w="100" ns0:type="dxa"/>
              <ns0:bottom ns0:w="100" ns0:type="dxa"/>
              <ns0:right ns0:w="100" ns0:type="dxa"/>
            </ns0:tcMar>
            <ns0:shd ns0:fill="E9EDF8"/>
          </ns0:tcPr>
          <ns0:p>
            <ns0:pPr>
              <ns0:spacing ns0:after="40" ns0:before="40" ns0:line="252" ns0:lineRule="auto"/>
            </ns0:pPr>
            <ns0:r>
              <ns0:rPr>
                <ns0:b/>
                <ns0:sz ns0:val="20"/>
              </ns0:rPr>
              <ns0:t>Primary location or scope</ns0:t>
            </ns0:r>
          </ns0:p>
        </ns0:tc>
      </ns0:tr>
      <ns0:tr>
        <ns0:trPr>
          <ns0:cantSplit/>
        </ns0:trPr>
        <ns0:tc>
          <ns0:tcPr>
            <ns0:tcW ns0:type="dxa" ns0:w="1944"/>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Vercel</ns0:t>
            </ns0:r>
          </ns0:p>
        </ns0:tc>
        <ns0:tc>
          <ns0:tcPr>
            <ns0:tcW ns0:type="dxa" ns0:w="4680"/>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Web application, server-side requests and operational processing</ns0:t>
            </ns0:r>
          </ns0:p>
        </ns0:tc>
        <ns0:tc>
          <ns0:tcPr>
            <ns0:tcW ns0:type="dxa" ns0:w="3312"/>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Washington, D.C., United States</ns0:t>
            </ns0:r>
          </ns0:p>
        </ns0:tc>
      </ns0:tr>
      <ns0:tr>
        <ns0:trPr>
          <ns0:cantSplit/>
        </ns0:trPr>
        <ns0:tc>
          <ns0:tcPr>
            <ns0:tcW ns0:type="dxa" ns0:w="1944"/>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Supabase</ns0:t>
            </ns0:r>
          </ns0:p>
        </ns0:tc>
        <ns0:tc>
          <ns0:tcPr>
            <ns0:tcW ns0:type="dxa" ns0:w="4680"/>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Authentication, project records, reports, generated content, embeddings and approved uploads</ns0:t>
            </ns0:r>
          </ns0:p>
        </ns0:tc>
        <ns0:tc>
          <ns0:tcPr>
            <ns0:tcW ns0:type="dxa" ns0:w="3312"/>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East US, North Virginia, United States</ns0:t>
            </ns0:r>
          </ns0:p>
        </ns0:tc>
      </ns0:tr>
      <ns0:tr>
        <ns0:trPr>
          <ns0:cantSplit/>
        </ns0:trPr>
        <ns0:tc>
          <ns0:tcPr>
            <ns0:tcW ns0:type="dxa" ns0:w="1944"/>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Zoom or client environment</ns0:t>
            </ns0:r>
          </ns0:p>
        </ns0:tc>
        <ns0:tc>
          <ns0:tcPr>
            <ns0:tcW ns0:type="dxa" ns0:w="4680"/>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Full source transcripts and meeting records</ns0:t>
            </ns0:r>
          </ns0:p>
        </ns0:tc>
        <ns0:tc>
          <ns0:tcPr>
            <ns0:tcW ns0:type="dxa" ns0:w="3312"/>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Location and retention follow the source account or client environment</ns0:t>
            </ns0:r>
          </ns0:p>
        </ns0:tc>
      </ns0:tr>
      <ns0:tr>
        <ns0:trPr>
          <ns0:cantSplit/>
        </ns0:trPr>
        <ns0:tc>
          <ns0:tcPr>
            <ns0:tcW ns0:type="dxa" ns0:w="1944"/>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Google Cloud</ns0:t>
            </ns0:r>
          </ns0:p>
        </ns0:tc>
        <ns0:tc>
          <ns0:tcPr>
            <ns0:tcW ns0:type="dxa" ns0:w="4680"/>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Meeting transcription when enabled; audio and resulting text</ns0:t>
            </ns0:r>
          </ns0:p>
        </ns0:tc>
        <ns0:tc>
          <ns0:tcPr>
            <ns0:tcW ns0:type="dxa" ns0:w="3312"/>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Iowa, United States</ns0:t>
            </ns0:r>
          </ns0:p>
        </ns0:tc>
      </ns0:tr>
      <ns0:tr>
        <ns0:trPr>
          <ns0:cantSplit/>
        </ns0:trPr>
        <ns0:tc>
          <ns0:tcPr>
            <ns0:tcW ns0:type="dxa" ns0:w="1944"/>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Anthropic</ns0:t>
            </ns0:r>
          </ns0:p>
        </ns0:tc>
        <ns0:tc>
          <ns0:tcPr>
            <ns0:tcW ns0:type="dxa" ns0:w="4680"/>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AI drafting, synthesis, organization and planning using relevant project text and approved content</ns0:t>
            </ns0:r>
          </ns0:p>
        </ns0:tc>
        <ns0:tc>
          <ns0:tcPr>
            <ns0:tcW ns0:type="dxa" ns0:w="3312"/>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Processing location and retention depend on the selected API account and service terms</ns0:t>
            </ns0:r>
          </ns0:p>
        </ns0:tc>
      </ns0:tr>
      <ns0:tr>
        <ns0:trPr>
          <ns0:cantSplit/>
        </ns0:trPr>
        <ns0:tc>
          <ns0:tcPr>
            <ns0:tcW ns0:type="dxa" ns0:w="1944"/>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OpenAI</ns0:t>
            </ns0:r>
          </ns0:p>
        </ns0:tc>
        <ns0:tc>
          <ns0:tcPr>
            <ns0:tcW ns0:type="dxa" ns0:w="4680"/>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Embeddings for finding related project information; selected source text is transmitted</ns0:t>
            </ns0:r>
          </ns0:p>
        </ns0:tc>
        <ns0:tc>
          <ns0:tcPr>
            <ns0:tcW ns0:type="dxa" ns0:w="3312"/>
            <ns0:vAlign ns0:val="center"/>
            <ns0:tcMar>
              <ns0:top ns0:w="100" ns0:type="dxa"/>
              <ns0:left ns0:w="100" ns0:type="dxa"/>
              <ns0:bottom ns0:w="100" ns0:type="dxa"/>
              <ns0:right ns0:w="100" ns0:type="dxa"/>
            </ns0:tcMar>
          </ns0:tcPr>
          <ns0:p>
            <ns0:pPr>
              <ns0:spacing ns0:after="40" ns0:before="40" ns0:line="252" ns0:lineRule="auto"/>
            </ns0:pPr>
            <ns0:r>
              <ns0:rPr>
                <ns0:b ns0:val="0"/>
                <ns0:sz ns0:val="20"/>
              </ns0:rPr>
              <ns0:t>Processing location and retention depend on the selected API account and service terms</ns0:t>
            </ns0:r>
          </ns0:p>
        </ns0:tc>
      </ns0:tr>
    </ns0:tbl>
    <ns0:p>
      <ns0:pPr>
        <ns0:keepLines/>
        <ns0:spacing ns0:after="20"/>
      </ns0:pPr>
    </ns0:p>
    <ns0:p>
      <ns0:pPr>
        <ns0:keepLines/>
      </ns0:pPr>
      <ns0:r>
        <ns0:t>Supabase and Vercel provide encryption in transit and at rest for their hosted services. Published measures: https://supabase.com/security and https://vercel.com/docs/security/compliance.</ns0:t>
      </ns0:r>
    </ns0:p>
    <ns0:p>
      <ns0:pPr>
        <ns0:keepLines/>
      </ns0:pPr>
      <ns0:r>
        <ns0:rPr>
          <ns0:b ns0:val="0"/>
        </ns0:rPr>
        <ns0:t>The listed hosting regions describe primary infrastructure. Logs, backups, support access, and downstream processing can have different locations and retention arrangements. Customer-specific residency requirements must be documented in the services agreement.</ns0:t>
      </ns0:r>
    </ns0:p>
    <ns0:p>
      <ns0:pPr>
        <ns0:pStyle ns0:val="Heading2"/>
      </ns0:pPr>
      <ns0:r>
        <ns0:t>AI processing</ns0:t>
      </ns0:r>
    </ns0:p>
    <ns0:p>
      <ns0:pPr>
        <ns0:keepLines/>
      </ns0:pPr>
      <ns0:r>
        <ns0:rPr>
          <ns0:b ns0:val="0"/>
        </ns0:rPr>
        <ns0:t xml:space="preserve">The </ns0:t>
      </ns0:r>
      <ns0:hyperlink ns0:anchor="section_4">
        <ns0:r>
          <ns0:rPr>
            <ns0:color ns0:val="304FA0"/>
          </ns0:rPr>
          <ns0:t>AI and data use overview</ns0:t>
        </ns0:r>
      </ns0:hyperlink>
      <ns0:r>
        <ns0:rPr>
          <ns0:b ns0:val="0"/>
        </ns0:rPr>
        <ns0:t xml:space="preserve"> explains drafting, embeddings, human review, and approved inputs. Source text is transmitted for processing; outputs and embeddings remain customer information.</ns0:t>
      </ns0:r>
    </ns0:p>
    <ns0:p>
      <ns0:pPr>
        <ns0:pStyle ns0:val="Heading2"/>
      </ns0:pPr>
      <ns0:r>
        <ns0:t>Source accounts and the extension</ns0:t>
      </ns0:r>
    </ns0:p>
    <ns0:p>
      <ns0:pPr>
        <ns0:keepLines/>
      </ns0:pPr>
      <ns0:r>
        <ns0:rPr>
          <ns0:b ns0:val="0"/>
        </ns0:rPr>
        <ns0:t>The client’s own environment is not automatically a Janus subprocessor. Zoom’s role depends on account ownership. Any meeting bot, intermediary, external document host, or additional ingestion service must be identified if used for the engagement.</ns0:t>
      </ns0:r>
    </ns0:p>
    <ns0:p>
      <ns0:pPr>
        <ns0:keepLines/>
      </ns0:pPr>
      <ns0:r>
        <ns0:rPr>
          <ns0:b ns0:val="0"/>
        </ns0:rPr>
        <ns0:t>The optional Chrome extension uses Google sign-in and submits approved feedback and attachments to Janus. Drafts and some sign-in information may remain on the device. The providers listed above support authentication and storage; local retention and any later AI processing are covered by the agreed scope.</ns0:t>
      </ns0:r>
    </ns0:p>
    <ns0:p>
      <ns0:pPr>
        <ns0:pStyle ns0:val="Heading2"/>
      </ns0:pPr>
      <ns0:r>
        <ns0:t>Provider changes</ns0:t>
      </ns0:r>
    </ns0:p>
    <ns0:p>
      <ns0:pPr>
        <ns0:keepLines/>
      </ns0:pPr>
      <ns0:r>
        <ns0:rPr>
          <ns0:b ns0:val="0"/>
        </ns0:rPr>
        <ns0:t>The service terms, when incorporated into the customer’s agreement, require written agreement before a new or replacement subprocessor processes client information. The approved list must identify the applicable provider entities, accounts, purposes, locations, and retention arrangements. Questions can be raised through the existing engagement contact channel.</ns0:t>
      </ns0:r>
    </ns0:p>
    <ns0:p>
      <ns0:bookmarkStart ns0:id="8" ns0:name="section_8"/>
      <ns0:pPr>
        <ns0:pStyle ns0:val="Heading1"/>
        <ns0:spacing ns0:before="400"/>
      </ns0:pPr>
      <ns0:r>
        <ns0:t>7  Service terms</ns0:t>
      </ns0:r>
      <ns0:bookmarkEnd ns0:id="8"/>
    </ns0:p>
    <ns0:p>
      <ns0:pPr>
        <ns0:keepLines/>
      </ns0:pPr>
      <ns0:r>
        <ns0:rPr>
          <ns0:b ns0:val="0"/>
        </ns0:rPr>
        <ns0:t>These terms apply when incorporated into a services agreement between Client and Provider. “Client” and “Provider” mean the parties identified in that agreement.</ns0:t>
      </ns0:r>
    </ns0:p>
    <ns0:p>
      <ns0:pPr>
        <ns0:pStyle ns0:val="Heading2"/>
      </ns0:pPr>
      <ns0:r>
        <ns0:t>Agreed service and scope</ns0:t>
      </ns0:r>
    </ns0:p>
    <ns0:p>
      <ns0:pPr>
        <ns0:keepLines/>
      </ns0:pPr>
      <ns0:r>
        <ns0:rPr>
          <ns0:b ns0:val="0"/>
        </ns0:rPr>
        <ns0:t>Provider may use Janus for authorized transcripts, approved documents, and project information to prepare deliverables, maintain project logs, plan work, track changes, and report on progress and contract usage. The statement of work identifies the enabled features and permitted inputs. Additional integrations or access to Client systems require written agreement.</ns0:t>
      </ns0:r>
    </ns0:p>
    <ns0:p>
      <ns0:pPr>
        <ns0:keepLines/>
      </ns0:pPr>
      <ns0:r>
        <ns0:rPr>
          <ns0:b ns0:val="0"/>
        </ns0:rPr>
        <ns0:t>The selected transcript workflow uses source transcripts retained in Client’s environment and supplied manually, or retained in Zoom. The parties will document responsibilities for recording notices, participant permissions, transcript supply, and retention of processing copies. A meeting invitation alone does not authorize recording or AI processing.</ns0:t>
      </ns0:r>
    </ns0:p>
    <ns0:p>
      <ns0:pPr>
        <ns0:keepLines/>
      </ns0:pPr>
      <ns0:r>
        <ns0:t>Selected documents require Client approval covering the content, purpose, AI processing, and retention. Confidential documents must be shared through an agreed, access-controlled channel. Patient information, protected health information, credentials, unapproved captures, and unapproved internal system files are excluded. Janus does not guarantee automatic detection or removal of excluded content.</ns0:t>
      </ns0:r>
    </ns0:p>
    <ns0:p>
      <ns0:pPr>
        <ns0:pStyle ns0:val="Heading2"/>
      </ns0:pPr>
      <ns0:r>
        <ns0:t>Optional browser extension</ns0:t>
      </ns0:r>
    </ns0:p>
    <ns0:p>
      <ns0:pPr>
        <ns0:keepLines/>
      </ns0:pPr>
      <ns0:r>
        <ns0:t>Extension use requires separate agreement on installation, permissions, users, allowed captures, local storage, and retention. Ticket text, URLs, screenshots, screen recordings with available and selected audio, and files must stay within that scope. Captures and URLs must be reviewed before submission. Confidential files must be shared through an agreed, access-controlled channel. Any later AI processing must also be authorized.</ns0:t>
      </ns0:r>
    </ns0:p>
    <ns0:p>
      <ns0:pPr>
        <ns0:pStyle ns0:val="Heading2"/>
      </ns0:pPr>
      <ns0:r>
        <ns0:t>AI review and reporting</ns0:t>
      </ns0:r>
    </ns0:p>
    <ns0:p>
      <ns0:pPr>
        <ns0:keepLines/>
      </ns0:pPr>
      <ns0:r>
        <ns0:rPr>
          <ns0:b ns0:val="0"/>
        </ns0:rPr>
        <ns0:t>Provider reviews and refines AI-drafted epics, features, work items, requirements, user stories, documentation, and plans before presenting them as final. AI output may contain errors or omissions. Automated scheduling and contract-usage reports do not amend scope, fees, delivery commitments, acceptance criteria, or invoicing terms.</ns0:t>
      </ns0:r>
    </ns0:p>
    <ns0:p>
      <ns0:pPr>
        <ns0:pStyle ns0:val="Heading2"/>
      </ns0:pPr>
      <ns0:r>
        <ns0:t>Content rights and confidentiality</ns0:t>
      </ns0:r>
    </ns0:p>
    <ns0:p>
      <ns0:pPr>
        <ns0:keepLines/>
      </ns0:pPr>
      <ns0:r>
        <ns0:rPr>
          <ns0:b ns0:val="0"/>
        </ns0:rPr>
        <ns0:t>Client retains its rights in supplied information. Provider may process it only to deliver, secure, support, and administer the agreed services and follow lawful instructions. Deliverable ownership is governed by the services agreement. Provider retains its rights in Janus and pre-existing tools; AI outputs may not be unique.</ns0:t>
      </ns0:r>
    </ns0:p>
    <ns0:p>
      <ns0:pPr>
        <ns0:keepLines/>
      </ns0:pPr>
      <ns0:r>
        <ns0:rPr>
          <ns0:b ns0:val="0"/>
        </ns0:rPr>
        <ns0:t>Provider will not sell Client content, use it for advertising, or use it to train general-purpose AI models. Provider will select service-provider arrangements consistent with these restrictions. Confidentiality obligations apply to supplied information, approved captures, and derived content.</ns0:t>
      </ns0:r>
    </ns0:p>
    <ns0:p>
      <ns0:pPr>
        <ns0:pStyle ns0:val="Heading2"/>
      </ns0:pPr>
      <ns0:r>
        <ns0:t>Security and accounts</ns0:t>
      </ns0:r>
    </ns0:p>
    <ns0:p>
      <ns0:pPr>
        <ns0:keepLines/>
      </ns0:pPr>
      <ns0:r>
        <ns0:rPr>
          <ns0:b ns0:val="0"/>
        </ns0:rPr>
        <ns0:t>Provider will maintain the security measures expressly agreed for the engagement and limit personnel access according to assigned responsibilities. Authorized users must protect their accounts, submit only permitted information, and report suspected unauthorized access promptly. No Janus certification, protected-health-information approval, or data-residency guarantee is implied.</ns0:t>
      </ns0:r>
    </ns0:p>
    <ns0:p>
      <ns0:pPr>
        <ns0:pStyle ns0:val="Heading2"/>
      </ns0:pPr>
      <ns0:r>
        <ns0:t>Retention and governing agreement</ns0:t>
      </ns0:r>
    </ns0:p>
    <ns0:p>
      <ns0:pPr>
        <ns0:keepLines/>
      </ns0:pPr>
      <ns0:r>
        <ns0:rPr>
          <ns0:b ns0:val="0"/>
        </ns0:rPr>
        <ns0:t>Client may request export or deletion through the project lead. The parties must agree retention, export format, deadlines, backup treatment, and any assistance fees before processing begins. Ending the engagement does not authorize indefinite retention; identified legal-retention duties remain applicable.</ns0:t>
      </ns0:r>
    </ns0:p>
    <ns0:p>
      <ns0:pPr>
        <ns0:keepLines/>
      </ns0:pPr>
      <ns0:r>
        <ns0:rPr>
          <ns0:b ns0:val="0"/>
        </ns0:rPr>
        <ns0:t>Fees, service levels, warranties, liability, indemnities, termination, governing law, and dispute resolution remain governed by the services agreement. These terms supplement that agreement. The applicable data processing addendum controls conflicting personal-data-processing terms, subject to mandatory law.</ns0:t>
      </ns0:r>
    </ns0:p>
    <ns0:p>
      <ns0:bookmarkStart ns0:id="9" ns0:name="section_9"/>
      <ns0:pPr>
        <ns0:pStyle ns0:val="Heading1"/>
        <ns0:spacing ns0:before="400"/>
      </ns0:pPr>
      <ns0:r>
        <ns0:t>8  Data processing addendum</ns0:t>
      </ns0:r>
      <ns0:bookmarkEnd ns0:id="9"/>
    </ns0:p>
    <ns0:p>
      <ns0:pPr>
        <ns0:keepLines/>
      </ns0:pPr>
      <ns0:r>
        <ns0:rPr>
          <ns0:b ns0:val="0"/>
        </ns0:rPr>
        <ns0:t>This addendum applies when incorporated into the parties’ services agreement. Client and Provider are the parties identified in that agreement. Their data-protection roles follow the agreed processing activity.</ns0:t>
      </ns0:r>
    </ns0:p>
    <ns0:p>
      <ns0:pPr>
        <ns0:pStyle ns0:val="Heading2"/>
      </ns0:pPr>
      <ns0:r>
        <ns0:t>Instructions and permitted purposes</ns0:t>
      </ns0:r>
    </ns0:p>
    <ns0:p>
      <ns0:pPr>
        <ns0:keepLines/>
      </ns0:pPr>
      <ns0:r>
        <ns0:rPr>
          <ns0:b ns0:val="0"/>
        </ns0:rPr>
        <ns0:t>Provider will process Client Personal Data only on documented instructions for the agreed Janus services, unless legally required otherwise. Those purposes include authorized transcription, organizing project information, drafting and refining deliverables, matching records, planning work, tracking delivery, reporting progress and contract usage, and approved feedback handling.</ns0:t>
      </ns0:r>
    </ns0:p>
    <ns0:p>
      <ns0:pPr>
        <ns0:keepLines/>
      </ns0:pPr>
      <ns0:r>
        <ns0:rPr>
          <ns0:b ns0:val="0"/>
        </ns0:rPr>
        <ns0:t>Information may concern staff, contractors, meeting participants, account users, and people referenced in permitted content. It may include business contact details, roles, meeting statements and metadata, approved documents, project and usage records, generated outputs, embeddings, and approved extension submissions. Voice or audio is included only when authorized. Patient information, credentials, and unapproved captures remain excluded.</ns0:t>
      </ns0:r>
    </ns0:p>
    <ns0:p>
      <ns0:pPr>
        <ns0:keepLines/>
      </ns0:pPr>
      <ns0:r>
        <ns0:rPr>
          <ns0:b ns0:val="0"/>
        </ns0:rPr>
        <ns0:t>Provider will flag instructions it believes infringe applicable data-protection law. Client is responsible for the lawfulness of its instructions and supplied data; Provider remains responsible for its own obligations.</ns0:t>
      </ns0:r>
    </ns0:p>
    <ns0:p>
      <ns0:pPr>
        <ns0:pStyle ns0:val="Heading2"/>
      </ns0:pPr>
      <ns0:r>
        <ns0:t>Confidentiality and security</ns0:t>
      </ns0:r>
    </ns0:p>
    <ns0:p>
      <ns0:pPr>
        <ns0:keepLines/>
      </ns0:pPr>
      <ns0:r>
        <ns0:t>Authorized personnel will be subject to confidentiality duties and access limited to assigned responsibilities. Provider will maintain the measures expressly agreed for the engagement, including authenticated access, tenant and organization permissions, scoped client views, and private storage for confidential uploads.</ns0:t>
      </ns0:r>
    </ns0:p>
    <ns0:p>
      <ns0:pPr>
        <ns0:keepLines/>
      </ns0:pPr>
      <ns0:r>
        <ns0:t>The agreed security measures cover access controls, encryption, incident response, retention, and recovery. The applicable services agreement defines these obligations.</ns0:t>
      </ns0:r>
    </ns0:p>
    <ns0:p>
      <ns0:pPr>
        <ns0:keepLines/>
      </ns0:pPr>
      <ns0:r>
        <ns0:rPr>
          <ns0:b ns0:val="0"/>
        </ns0:rPr>
        <ns0:t>Client Personal Data will not be sold, used for behavioral advertising, or used to train general-purpose AI models. Selected provider accounts and terms must support these restrictions.</ns0:t>
      </ns0:r>
    </ns0:p>
    <ns0:p>
      <ns0:pPr>
        <ns0:pStyle ns0:val="Heading2"/>
      </ns0:pPr>
      <ns0:r>
        <ns0:t>Providers and locations</ns0:t>
      </ns0:r>
    </ns0:p>
    <ns0:p>
      <ns0:pPr>
        <ns0:keepLines/>
      </ns0:pPr>
      <ns0:r>
        <ns0:rPr>
          <ns0:b ns0:val="0"/>
        </ns0:rPr>
        <ns0:t xml:space="preserve">Only providers authorized in writing may process Client Personal Data. The </ns0:t>
      </ns0:r>
      <ns0:hyperlink ns0:anchor="section_7">
        <ns0:r>
          <ns0:rPr>
            <ns0:color ns0:val="304FA0"/>
          </ns0:rPr>
          <ns0:t>provider overview</ns0:t>
        </ns0:r>
      </ns0:hyperlink>
      <ns0:r>
        <ns0:rPr>
          <ns0:b ns0:val="0"/>
        </ns0:rPr>
        <ns0:t xml:space="preserve"> identifies the services supporting Janus. New or replacement providers require prior written agreement. Provider will impose applicable obligations in writing and remain responsible for their performance under this addendum.</ns0:t>
      </ns0:r>
    </ns0:p>
    <ns0:p>
      <ns0:pPr>
        <ns0:keepLines/>
      </ns0:pPr>
      <ns0:r>
        <ns0:rPr>
          <ns0:b ns0:val="0"/>
        </ns0:rPr>
        <ns0:t>The parties must agree processing locations and any required transfer safeguards before affected processing begins. Primary application or database regions do not establish every AI, support, log, or backup location.</ns0:t>
      </ns0:r>
    </ns0:p>
    <ns0:p>
      <ns0:pPr>
        <ns0:pStyle ns0:val="Heading2"/>
      </ns0:pPr>
      <ns0:r>
        <ns0:t>Requests and incidents</ns0:t>
      </ns0:r>
    </ns0:p>
    <ns0:p>
      <ns0:pPr>
        <ns0:keepLines/>
      </ns0:pPr>
      <ns0:r>
        <ns0:rPr>
          <ns0:b ns0:val="0"/>
        </ns0:rPr>
        <ns0:t>Provider will promptly inform Client of individual requests concerning Client Personal Data and reasonably assist Client in responding. Provider will notify Client without undue delay after becoming aware of a breach affecting that data, provide available details, supplement them as facts become known, and cooperate in containment and remediation. Client controls its notifications unless Provider has an independent legal duty.</ns0:t>
      </ns0:r>
    </ns0:p>
    <ns0:p>
      <ns0:pPr>
        <ns0:keepLines/>
      </ns0:pPr>
      <ns0:r>
        <ns0:rPr>
          <ns0:b ns0:val="0"/>
        </ns0:rPr>
        <ns0:t>Provider will provide reasonable information and assistance for compliance reviews, impact assessments, and proportionate audits, with safeguards for other clients’ information. No independent certification is implied.</ns0:t>
      </ns0:r>
    </ns0:p>
    <ns0:p>
      <ns0:pPr>
        <ns0:pStyle ns0:val="Heading2"/>
      </ns0:pPr>
      <ns0:r>
        <ns0:t>Return and deletion</ns0:t>
      </ns0:r>
    </ns0:p>
    <ns0:p>
      <ns0:pPr>
        <ns0:keepLines/>
      </ns0:pPr>
      <ns0:r>
        <ns0:rPr>
          <ns0:b ns0:val="0"/>
        </ns0:rPr>
        <ns0:t>At the end of processing, Provider will return or delete Client Personal Data according to Client’s instructions and the agreed retention schedule, subject to identified legal obligations. This must address source and processing copies, approved documents, project records, generated content, embeddings, extension drafts and submitted files, logs, backups, and provider-held copies.</ns0:t>
      </ns0:r>
    </ns0:p>
    <ns0:p>
      <ns0:pPr>
        <ns0:keepLines/>
      </ns0:pPr>
      <ns0:r>
        <ns0:rPr>
          <ns0:b ns0:val="0"/>
        </ns0:rPr>
        <ns0:t>Backup expiry, restoration handling, export format, deletion deadlines, and responsibilities must be agreed before processing begins. Provider will confirm completion on request under those agreed terms. Retained information remains protected and limited to its permitted purpose.</ns0:t>
      </ns0:r>
    </ns0:p>
    <ns0:p>
      <ns0:pPr>
        <ns0:pStyle ns0:val="Heading2"/>
      </ns0:pPr>
      <ns0:r>
        <ns0:t>Duration and governing agreement</ns0:t>
      </ns0:r>
    </ns0:p>
    <ns0:p>
      <ns0:pPr>
        <ns0:keepLines/>
      </ns0:pPr>
      <ns0:r>
        <ns0:rPr>
          <ns0:b ns0:val="0"/>
        </ns0:rPr>
        <ns0:t>Before processing begins, the parties must document the operational security and retention schedules, approved providers and locations, instruction and incident contacts, and any required transfer terms. These obligations continue while Client Personal Data is retained. Liability and governing law follow the services agreement, subject to mandatory law.</ns0:t>
      </ns0:r>
    </ns0:p>
    <ns0:sectPr ns0:rsidR="00FC693F" ns0:rsidRPr="0006063C" ns0:rsidSect="00034616">
      <ns0:footerReference ns0:type="default" ns5:id="rId9"/>
      <ns0:footerReference ns0:type="first" ns5:id="rId10"/>
      <ns0:pgSz ns0:w="12240" ns0:h="15840"/>
      <ns0:pgMar ns0:top="936" ns0:right="1152" ns0:bottom="1008" ns0:left="1152" ns0:header="360" ns0:footer="432" ns0:gutter="0"/>
      <ns0:cols ns0:space="720"/>
      <ns0:titlePg/>
      <ns0:docGrid ns0:linePitch="360"/>
    </ns0:sectPr>
  </ns0:body>
</ns0: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JANUS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JANUS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20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Janus Security &amp; Privacy</dc:title>
  <dc:subject>Security privacy and data processing addendum</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